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01" w:rsidRDefault="001B7401" w:rsidP="001B7401">
      <w:pPr>
        <w:pStyle w:val="a9"/>
        <w:ind w:left="0" w:right="-1"/>
        <w:jc w:val="both"/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9"/>
        <w:gridCol w:w="647"/>
        <w:gridCol w:w="864"/>
        <w:gridCol w:w="3596"/>
      </w:tblGrid>
      <w:tr w:rsidR="001B7401" w:rsidTr="001B7401">
        <w:trPr>
          <w:trHeight w:val="1562"/>
        </w:trPr>
        <w:tc>
          <w:tcPr>
            <w:tcW w:w="4039" w:type="dxa"/>
          </w:tcPr>
          <w:p w:rsidR="001B7401" w:rsidRDefault="001B7401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1B7401" w:rsidRDefault="001B7401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B7401" w:rsidRDefault="001B7401">
            <w:pPr>
              <w:ind w:right="-1"/>
            </w:pPr>
          </w:p>
        </w:tc>
      </w:tr>
      <w:tr w:rsidR="001B7401" w:rsidTr="001B7401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1B7401" w:rsidRDefault="001B7401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1B7401" w:rsidRDefault="001B7401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КОМИССИЯ</w:t>
            </w:r>
          </w:p>
        </w:tc>
        <w:tc>
          <w:tcPr>
            <w:tcW w:w="637" w:type="dxa"/>
            <w:vAlign w:val="center"/>
          </w:tcPr>
          <w:p w:rsidR="001B7401" w:rsidRDefault="001B7401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1B7401" w:rsidRDefault="001B7401">
            <w:pPr>
              <w:pStyle w:val="1"/>
              <w:ind w:right="-1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ГОРНО-АЛТАЙСК КАЛАДАГЫ</w:t>
            </w:r>
          </w:p>
          <w:p w:rsidR="001B7401" w:rsidRDefault="001B7401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1B7401" w:rsidRDefault="001B7401" w:rsidP="001B7401">
      <w:pPr>
        <w:ind w:right="-1"/>
        <w:rPr>
          <w:sz w:val="16"/>
        </w:rPr>
      </w:pPr>
      <w:r>
        <w:pict>
          <v:line id="_x0000_s1026" style="position:absolute;z-index:251658240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1B7401" w:rsidTr="001B7401">
        <w:trPr>
          <w:trHeight w:val="622"/>
        </w:trPr>
        <w:tc>
          <w:tcPr>
            <w:tcW w:w="4077" w:type="dxa"/>
            <w:gridSpan w:val="2"/>
          </w:tcPr>
          <w:p w:rsidR="001B7401" w:rsidRDefault="001B7401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1B7401" w:rsidRDefault="001B740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1B7401" w:rsidRDefault="001B7401">
            <w:pPr>
              <w:ind w:right="-1"/>
              <w:jc w:val="center"/>
              <w:rPr>
                <w:sz w:val="28"/>
              </w:rPr>
            </w:pPr>
          </w:p>
        </w:tc>
      </w:tr>
      <w:tr w:rsidR="001B7401" w:rsidTr="001B7401">
        <w:trPr>
          <w:cantSplit/>
          <w:trHeight w:val="282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401" w:rsidRDefault="001B740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05 июня  2018 г.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1B7401" w:rsidRDefault="001B7401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401" w:rsidRDefault="001B740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72/448</w:t>
            </w:r>
          </w:p>
        </w:tc>
      </w:tr>
      <w:tr w:rsidR="001B7401" w:rsidTr="001B7401"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01" w:rsidRDefault="001B740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vAlign w:val="bottom"/>
            <w:hideMark/>
          </w:tcPr>
          <w:p w:rsidR="001B7401" w:rsidRDefault="001B740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vAlign w:val="center"/>
          </w:tcPr>
          <w:p w:rsidR="001B7401" w:rsidRDefault="001B7401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1B7401" w:rsidRDefault="001B7401" w:rsidP="001B7401">
      <w:pPr>
        <w:ind w:right="-1"/>
        <w:rPr>
          <w:sz w:val="16"/>
          <w:szCs w:val="16"/>
        </w:rPr>
      </w:pPr>
    </w:p>
    <w:p w:rsidR="001B7401" w:rsidRDefault="001B7401" w:rsidP="001B7401">
      <w:pPr>
        <w:ind w:right="-1"/>
        <w:rPr>
          <w:sz w:val="16"/>
          <w:szCs w:val="16"/>
        </w:rPr>
      </w:pPr>
    </w:p>
    <w:p w:rsidR="001B7401" w:rsidRDefault="001B7401" w:rsidP="001B7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№12</w:t>
      </w:r>
    </w:p>
    <w:p w:rsidR="001B7401" w:rsidRDefault="001B7401" w:rsidP="001B7401">
      <w:pPr>
        <w:jc w:val="center"/>
        <w:rPr>
          <w:sz w:val="28"/>
        </w:rPr>
      </w:pPr>
    </w:p>
    <w:p w:rsidR="001B7401" w:rsidRDefault="001B7401" w:rsidP="001B7401">
      <w:pPr>
        <w:pStyle w:val="a7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12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Горно-Алтайская городская территориальная избирательная комиссия  </w:t>
      </w:r>
    </w:p>
    <w:p w:rsidR="001B7401" w:rsidRDefault="001B7401" w:rsidP="001B7401">
      <w:pPr>
        <w:pStyle w:val="a7"/>
        <w:spacing w:line="276" w:lineRule="auto"/>
        <w:ind w:right="-1" w:firstLine="0"/>
        <w:rPr>
          <w:b/>
          <w:lang w:val="ru-RU"/>
        </w:rPr>
      </w:pPr>
      <w:r>
        <w:rPr>
          <w:b/>
          <w:spacing w:val="60"/>
        </w:rPr>
        <w:t>решил</w:t>
      </w:r>
      <w:r>
        <w:rPr>
          <w:b/>
        </w:rPr>
        <w:t>а:</w:t>
      </w:r>
    </w:p>
    <w:p w:rsidR="001B7401" w:rsidRDefault="001B7401" w:rsidP="001B7401">
      <w:pPr>
        <w:pStyle w:val="a7"/>
        <w:spacing w:line="276" w:lineRule="auto"/>
        <w:ind w:right="-1" w:firstLine="0"/>
        <w:rPr>
          <w:b/>
          <w:lang w:val="ru-RU"/>
        </w:rPr>
      </w:pPr>
    </w:p>
    <w:p w:rsidR="001B7401" w:rsidRDefault="001B7401" w:rsidP="001B7401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участковую избирательную комиссию избирательного участка №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1B7401" w:rsidRDefault="001B7401" w:rsidP="001B7401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сайте  Горно-Алтайской городской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0" w:type="dxa"/>
        <w:tblLayout w:type="fixed"/>
        <w:tblLook w:val="04A0"/>
      </w:tblPr>
      <w:tblGrid>
        <w:gridCol w:w="6803"/>
        <w:gridCol w:w="2977"/>
      </w:tblGrid>
      <w:tr w:rsidR="001B7401" w:rsidTr="001B7401">
        <w:tc>
          <w:tcPr>
            <w:tcW w:w="6804" w:type="dxa"/>
          </w:tcPr>
          <w:p w:rsidR="001B7401" w:rsidRDefault="001B7401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sz w:val="28"/>
                <w:lang w:val="ru-RU"/>
              </w:rPr>
              <w:t>Горно-Алтайской</w:t>
            </w:r>
            <w:proofErr w:type="gramEnd"/>
            <w:r>
              <w:rPr>
                <w:sz w:val="28"/>
                <w:lang w:val="ru-RU"/>
              </w:rPr>
              <w:t xml:space="preserve"> городской </w:t>
            </w:r>
          </w:p>
          <w:p w:rsidR="001B7401" w:rsidRDefault="001B7401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территориальной </w:t>
            </w:r>
            <w:r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1B7401" w:rsidRDefault="001B7401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B7401" w:rsidRDefault="001B7401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1B7401" w:rsidRDefault="001B7401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1B7401" w:rsidTr="001B7401">
        <w:tc>
          <w:tcPr>
            <w:tcW w:w="6804" w:type="dxa"/>
            <w:hideMark/>
          </w:tcPr>
          <w:p w:rsidR="001B7401" w:rsidRDefault="001B7401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>
              <w:rPr>
                <w:sz w:val="28"/>
                <w:lang w:val="ru-RU"/>
              </w:rPr>
              <w:t>Горно-Алтайской</w:t>
            </w:r>
            <w:proofErr w:type="gramEnd"/>
            <w:r>
              <w:rPr>
                <w:sz w:val="28"/>
                <w:lang w:val="ru-RU"/>
              </w:rPr>
              <w:t xml:space="preserve"> городской </w:t>
            </w:r>
          </w:p>
          <w:p w:rsidR="001B7401" w:rsidRDefault="001B7401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территориальной </w:t>
            </w:r>
            <w:r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</w:tcPr>
          <w:p w:rsidR="001B7401" w:rsidRDefault="001B7401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1B7401" w:rsidRDefault="001B7401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1B7401" w:rsidRDefault="001B7401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B7401" w:rsidRDefault="001B7401" w:rsidP="001B7401">
      <w:pPr>
        <w:spacing w:line="276" w:lineRule="auto"/>
        <w:rPr>
          <w:sz w:val="28"/>
          <w:szCs w:val="28"/>
        </w:rPr>
      </w:pPr>
    </w:p>
    <w:p w:rsidR="001B7401" w:rsidRDefault="001B7401" w:rsidP="001B7401">
      <w:pPr>
        <w:spacing w:line="360" w:lineRule="auto"/>
        <w:rPr>
          <w:sz w:val="28"/>
          <w:szCs w:val="28"/>
        </w:rPr>
      </w:pPr>
    </w:p>
    <w:p w:rsidR="001B7401" w:rsidRDefault="001B7401" w:rsidP="001B7401">
      <w:pPr>
        <w:spacing w:line="360" w:lineRule="auto"/>
        <w:rPr>
          <w:sz w:val="28"/>
          <w:szCs w:val="28"/>
        </w:rPr>
      </w:pPr>
    </w:p>
    <w:p w:rsidR="001B7401" w:rsidRDefault="001B7401" w:rsidP="001B7401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B7401" w:rsidRDefault="001B7401" w:rsidP="001B7401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72/448</w:t>
      </w:r>
    </w:p>
    <w:p w:rsidR="001B7401" w:rsidRDefault="001B7401" w:rsidP="001B7401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1B7401" w:rsidRDefault="001B7401" w:rsidP="001B7401">
      <w:pPr>
        <w:ind w:right="-1"/>
        <w:rPr>
          <w:sz w:val="16"/>
          <w:szCs w:val="16"/>
        </w:rPr>
      </w:pPr>
    </w:p>
    <w:p w:rsidR="001B7401" w:rsidRDefault="001B7401" w:rsidP="001B7401">
      <w:pPr>
        <w:spacing w:line="360" w:lineRule="auto"/>
        <w:rPr>
          <w:sz w:val="28"/>
          <w:szCs w:val="28"/>
        </w:rPr>
      </w:pPr>
    </w:p>
    <w:p w:rsidR="001B7401" w:rsidRDefault="001B7401" w:rsidP="001B74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B7401" w:rsidRDefault="001B7401" w:rsidP="001B74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участковой избирательной комиссии №12 с правом </w:t>
      </w:r>
    </w:p>
    <w:p w:rsidR="001B7401" w:rsidRDefault="001B7401" w:rsidP="001B74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решающего голоса 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</w:t>
      </w:r>
      <w:proofErr w:type="spellStart"/>
      <w:r>
        <w:rPr>
          <w:sz w:val="28"/>
          <w:szCs w:val="28"/>
        </w:rPr>
        <w:t>Зяблицкую</w:t>
      </w:r>
      <w:proofErr w:type="spellEnd"/>
      <w:r>
        <w:rPr>
          <w:sz w:val="28"/>
          <w:szCs w:val="28"/>
        </w:rPr>
        <w:t xml:space="preserve"> Инну Васильевну, 1979 года рождения, образование высшее профессиональное, ФБУЗ  «Центр гигиены и эпидемиологии в Республике Алтай», заведующая отделом, выдвинута  собранием избирателей по месту работы.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</w:t>
      </w:r>
      <w:proofErr w:type="spellStart"/>
      <w:r>
        <w:rPr>
          <w:sz w:val="28"/>
          <w:szCs w:val="28"/>
        </w:rPr>
        <w:t>Тадырову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Сынару</w:t>
      </w:r>
      <w:proofErr w:type="spellEnd"/>
      <w:r>
        <w:rPr>
          <w:sz w:val="28"/>
          <w:szCs w:val="28"/>
        </w:rPr>
        <w:t xml:space="preserve"> Валерьевну, 1983 года рождения, образование высшее профессиональное, МБОУ «Средняя общеобразовательная школа №7 г. Горно-Алтайска», социальный педагог, выдвинута  собранием избирателей по месту работы.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</w:t>
      </w:r>
      <w:proofErr w:type="spellStart"/>
      <w:r>
        <w:rPr>
          <w:sz w:val="28"/>
          <w:szCs w:val="28"/>
        </w:rPr>
        <w:t>Анатову</w:t>
      </w:r>
      <w:proofErr w:type="spellEnd"/>
      <w:r>
        <w:rPr>
          <w:sz w:val="28"/>
          <w:szCs w:val="28"/>
        </w:rPr>
        <w:t xml:space="preserve"> Ирину Ивановну, 1980 года рождения, образование высшее профессиональное, МБОУ «Средняя общеобразовательная школа №7 г. Горно-Алтайска», учитель, выдвинута  собранием избирателей по месту работы.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</w:t>
      </w:r>
      <w:proofErr w:type="spellStart"/>
      <w:r>
        <w:rPr>
          <w:sz w:val="28"/>
          <w:szCs w:val="28"/>
        </w:rPr>
        <w:t>Пустогачеву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Шолпан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Эфудановну</w:t>
      </w:r>
      <w:proofErr w:type="spellEnd"/>
      <w:r>
        <w:rPr>
          <w:sz w:val="28"/>
          <w:szCs w:val="28"/>
        </w:rPr>
        <w:t xml:space="preserve">, 1986 года рождения, образование высшее профессиональное, ИП </w:t>
      </w:r>
      <w:proofErr w:type="spellStart"/>
      <w:r>
        <w:rPr>
          <w:sz w:val="28"/>
          <w:szCs w:val="28"/>
        </w:rPr>
        <w:t>Имамадиева</w:t>
      </w:r>
      <w:proofErr w:type="spellEnd"/>
      <w:r>
        <w:rPr>
          <w:sz w:val="28"/>
          <w:szCs w:val="28"/>
        </w:rPr>
        <w:t xml:space="preserve"> Г.Б. «Частный детский сад «</w:t>
      </w:r>
      <w:proofErr w:type="spellStart"/>
      <w:r>
        <w:rPr>
          <w:sz w:val="28"/>
          <w:szCs w:val="28"/>
        </w:rPr>
        <w:t>БебиЛэнд</w:t>
      </w:r>
      <w:proofErr w:type="spellEnd"/>
      <w:r>
        <w:rPr>
          <w:sz w:val="28"/>
          <w:szCs w:val="28"/>
        </w:rPr>
        <w:t xml:space="preserve">», старший воспитатель, выдвинута Региональным отделением политической партией СПРАВЕДЛИВАЯ РОССИЯ в Республике Алтай.  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</w:t>
      </w:r>
      <w:proofErr w:type="spellStart"/>
      <w:r>
        <w:rPr>
          <w:sz w:val="28"/>
          <w:szCs w:val="28"/>
        </w:rPr>
        <w:t>Чернышову</w:t>
      </w:r>
      <w:proofErr w:type="spellEnd"/>
      <w:r>
        <w:rPr>
          <w:sz w:val="28"/>
          <w:szCs w:val="28"/>
        </w:rPr>
        <w:t xml:space="preserve"> Марину Владимировну, 1973 года рождения, образование высшее профессиональное, МБОУ «Средняя общеобразовательная школа №12 г. Горно-Алтайска», педагог-библиотекарь, выдвинута  собранием избирателей по месту работы.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Комиссарову Любовь Ильиничну, 1949 года рождения, образование среднее профессиональное, пенсионер, выдвинута </w:t>
      </w:r>
      <w:r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</w:t>
      </w:r>
      <w:proofErr w:type="spellStart"/>
      <w:r>
        <w:rPr>
          <w:sz w:val="28"/>
          <w:szCs w:val="28"/>
        </w:rPr>
        <w:t>Шатаева</w:t>
      </w:r>
      <w:proofErr w:type="spellEnd"/>
      <w:r>
        <w:rPr>
          <w:sz w:val="28"/>
          <w:szCs w:val="28"/>
        </w:rPr>
        <w:t xml:space="preserve"> Александра Васильевича, 1971 года рождения, образование высшее профессиональное, временно безработный, выдвинут </w:t>
      </w:r>
      <w:r>
        <w:rPr>
          <w:color w:val="000000"/>
          <w:sz w:val="28"/>
          <w:szCs w:val="28"/>
        </w:rPr>
        <w:t xml:space="preserve">Алтайским </w:t>
      </w:r>
      <w:r>
        <w:rPr>
          <w:color w:val="000000"/>
          <w:sz w:val="28"/>
          <w:szCs w:val="28"/>
        </w:rPr>
        <w:lastRenderedPageBreak/>
        <w:t>республиканским отделением Политической партии «КОММУНИСТИЧЕСКАЯ ПАРТИЯ РОССИЙСКОЙ ФЕДЕРАЦИИ».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</w:t>
      </w:r>
      <w:proofErr w:type="spellStart"/>
      <w:r>
        <w:rPr>
          <w:sz w:val="28"/>
          <w:szCs w:val="28"/>
        </w:rPr>
        <w:t>Ачимову</w:t>
      </w:r>
      <w:proofErr w:type="spellEnd"/>
      <w:r>
        <w:rPr>
          <w:sz w:val="28"/>
          <w:szCs w:val="28"/>
        </w:rPr>
        <w:t xml:space="preserve"> Наталью Алексеевну, 1964 года рождения, образование высшее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>
        <w:rPr>
          <w:sz w:val="28"/>
          <w:szCs w:val="28"/>
        </w:rPr>
        <w:t xml:space="preserve"> «Национальная библиотека имени М.В. </w:t>
      </w:r>
      <w:proofErr w:type="spellStart"/>
      <w:r>
        <w:rPr>
          <w:sz w:val="28"/>
          <w:szCs w:val="28"/>
        </w:rPr>
        <w:t>Чевалкова</w:t>
      </w:r>
      <w:proofErr w:type="spellEnd"/>
      <w:r>
        <w:rPr>
          <w:sz w:val="28"/>
          <w:szCs w:val="28"/>
        </w:rPr>
        <w:t>», главный библиотекарь, выдвинута Региональным отделением Всероссийской политической партии "ЕДИНАЯ РОССИЯ" Республики Алтай.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Сахарову </w:t>
      </w:r>
      <w:proofErr w:type="spellStart"/>
      <w:r>
        <w:rPr>
          <w:sz w:val="28"/>
          <w:szCs w:val="28"/>
        </w:rPr>
        <w:t>Эркелей</w:t>
      </w:r>
      <w:proofErr w:type="spellEnd"/>
      <w:r>
        <w:rPr>
          <w:sz w:val="28"/>
          <w:szCs w:val="28"/>
        </w:rPr>
        <w:t xml:space="preserve"> Александровну, 1989 года рождения, образование высшее профессиональное, МБОУ «Средняя общеобразовательная школа №7 г. Горно-Алтайска», учитель, выдвинута Республиканским отделением </w:t>
      </w:r>
      <w:r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№12 с правом решающего голоса </w:t>
      </w:r>
      <w:proofErr w:type="spellStart"/>
      <w:r>
        <w:rPr>
          <w:sz w:val="28"/>
          <w:szCs w:val="28"/>
        </w:rPr>
        <w:t>Емендееву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Тарановну</w:t>
      </w:r>
      <w:proofErr w:type="spellEnd"/>
      <w:r>
        <w:rPr>
          <w:sz w:val="28"/>
          <w:szCs w:val="28"/>
        </w:rPr>
        <w:t xml:space="preserve">, 1982 года рождения, образование высшее профессиональное, филиал ООО «РГС – Медицина» Республики Алтай, начальник отдела, выдвинута </w:t>
      </w:r>
      <w:r>
        <w:rPr>
          <w:color w:val="000000"/>
          <w:sz w:val="28"/>
          <w:szCs w:val="28"/>
        </w:rPr>
        <w:t>Алтайским Республиканским региональным отделением политической партии «Патриоты России».</w:t>
      </w:r>
    </w:p>
    <w:p w:rsidR="001B7401" w:rsidRDefault="001B7401" w:rsidP="001B7401">
      <w:pPr>
        <w:pStyle w:val="a9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№12 с правом решающего голоса Рязанову Ольгу Владимировну, 1978 года рождения, образование высшее профессиональное, УФПС РА – филиал ФГУП «Почта России», экономист, выдвинута  собранием избирателей по месту работы.</w:t>
      </w:r>
    </w:p>
    <w:p w:rsidR="001B7401" w:rsidRDefault="001B7401" w:rsidP="001B7401">
      <w:pPr>
        <w:pStyle w:val="a9"/>
        <w:ind w:left="0" w:right="-1"/>
        <w:jc w:val="both"/>
      </w:pPr>
    </w:p>
    <w:p w:rsidR="001B7401" w:rsidRDefault="001B7401" w:rsidP="001B7401">
      <w:pPr>
        <w:pStyle w:val="a9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65D"/>
    <w:multiLevelType w:val="hybridMultilevel"/>
    <w:tmpl w:val="F640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7401"/>
    <w:rsid w:val="001B7401"/>
    <w:rsid w:val="0032051E"/>
    <w:rsid w:val="00802075"/>
    <w:rsid w:val="008E291B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401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1B7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0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4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1B7401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1B7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B7401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1B7401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 Indent"/>
    <w:basedOn w:val="a"/>
    <w:link w:val="a8"/>
    <w:semiHidden/>
    <w:unhideWhenUsed/>
    <w:rsid w:val="001B7401"/>
    <w:pPr>
      <w:ind w:firstLine="720"/>
      <w:jc w:val="both"/>
    </w:pPr>
    <w:rPr>
      <w:sz w:val="28"/>
      <w:szCs w:val="28"/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1B7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B7401"/>
    <w:pPr>
      <w:ind w:left="720"/>
      <w:contextualSpacing/>
    </w:pPr>
  </w:style>
  <w:style w:type="paragraph" w:customStyle="1" w:styleId="ConsPlusNonformat">
    <w:name w:val="ConsPlusNonformat"/>
    <w:rsid w:val="001B7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3</cp:revision>
  <dcterms:created xsi:type="dcterms:W3CDTF">2018-06-06T09:00:00Z</dcterms:created>
  <dcterms:modified xsi:type="dcterms:W3CDTF">2018-06-06T09:00:00Z</dcterms:modified>
</cp:coreProperties>
</file>