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A182E" w:rsidRPr="00951029" w:rsidTr="005A182E">
        <w:tc>
          <w:tcPr>
            <w:tcW w:w="4820" w:type="dxa"/>
          </w:tcPr>
          <w:p w:rsidR="005A182E" w:rsidRPr="005A182E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2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182E" w:rsidRPr="00951029" w:rsidRDefault="009A4D28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4D28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="009A4D28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182E" w:rsidRPr="00951029" w:rsidRDefault="005A182E" w:rsidP="00C54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182E" w:rsidRPr="00ED6ACD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тип транспортного средства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</w:t>
            </w:r>
            <w:r w:rsidR="005A182E"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модель:</w:t>
            </w:r>
          </w:p>
        </w:tc>
        <w:tc>
          <w:tcPr>
            <w:tcW w:w="4536" w:type="dxa"/>
          </w:tcPr>
          <w:p w:rsidR="005A182E" w:rsidRPr="0069352D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8109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</w:p>
        </w:tc>
        <w:tc>
          <w:tcPr>
            <w:tcW w:w="4536" w:type="dxa"/>
          </w:tcPr>
          <w:p w:rsidR="005A182E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5A182E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Шасси (рама) №:</w:t>
            </w:r>
          </w:p>
        </w:tc>
        <w:tc>
          <w:tcPr>
            <w:tcW w:w="4536" w:type="dxa"/>
          </w:tcPr>
          <w:p w:rsidR="005A182E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02477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 (кабина, прицеп) №:</w:t>
            </w:r>
          </w:p>
        </w:tc>
        <w:tc>
          <w:tcPr>
            <w:tcW w:w="4536" w:type="dxa"/>
          </w:tcPr>
          <w:p w:rsidR="005A182E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102530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кузова (кабины, прицепа):</w:t>
            </w:r>
          </w:p>
        </w:tc>
        <w:tc>
          <w:tcPr>
            <w:tcW w:w="4536" w:type="dxa"/>
          </w:tcPr>
          <w:p w:rsidR="005A182E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Разрешенная макс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имальная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масса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C54B1B" w:rsidRPr="00ED6ACD" w:rsidTr="00C54B1B">
        <w:tc>
          <w:tcPr>
            <w:tcW w:w="4928" w:type="dxa"/>
          </w:tcPr>
          <w:p w:rsidR="00C54B1B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без нагрузки:</w:t>
            </w:r>
          </w:p>
        </w:tc>
        <w:tc>
          <w:tcPr>
            <w:tcW w:w="4536" w:type="dxa"/>
          </w:tcPr>
          <w:p w:rsidR="00C54B1B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A387C" w:rsidRPr="00ED6ACD" w:rsidTr="00C54B1B">
        <w:tc>
          <w:tcPr>
            <w:tcW w:w="4928" w:type="dxa"/>
          </w:tcPr>
          <w:p w:rsidR="00DA387C" w:rsidRDefault="00DA387C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Изготовитель (страна)</w:t>
            </w:r>
          </w:p>
        </w:tc>
        <w:tc>
          <w:tcPr>
            <w:tcW w:w="4536" w:type="dxa"/>
          </w:tcPr>
          <w:p w:rsidR="00DA387C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УАЗ, Россия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182E" w:rsidRPr="00D75CAA" w:rsidRDefault="00DA387C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18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5A182E" w:rsidRPr="00ED6ACD" w:rsidRDefault="00DA387C" w:rsidP="00DA3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28 790 (Двадцать восемь тысяч семьсот девяносто)</w:t>
            </w:r>
            <w:r w:rsid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00 копеек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руб. (20% от начальной цены объекта):</w:t>
            </w:r>
          </w:p>
        </w:tc>
        <w:tc>
          <w:tcPr>
            <w:tcW w:w="4536" w:type="dxa"/>
          </w:tcPr>
          <w:p w:rsidR="005A182E" w:rsidRPr="00ED6ACD" w:rsidRDefault="00DA387C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5 758 (Пять тысяч семьсот пятьдесят восемь)</w:t>
            </w:r>
            <w:r w:rsidR="00C54B1B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5A182E"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 объекта)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DA387C" w:rsidP="00DA3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1 439 (Одна тысяча четыреста тридцать девять) рублей 5</w:t>
            </w:r>
            <w:r w:rsidR="00C54B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A1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копеек.</w:t>
            </w:r>
          </w:p>
        </w:tc>
      </w:tr>
    </w:tbl>
    <w:p w:rsidR="005A182E" w:rsidRDefault="005A182E" w:rsidP="005A182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5A182E" w:rsidRPr="00ED6ACD" w:rsidSect="005A182E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 w:rsidR="00153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СООБЩЕНИЕ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МУНИЦИПАЛЬНОГО ИМУЩЕСТВА МУНИЦИПАЛЬНОГО ОБРАЗОВАНИЯ 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  <w:r w:rsidR="005225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</w:t>
      </w:r>
      <w:bookmarkStart w:id="1" w:name="_GoBack"/>
      <w:r w:rsidR="00D375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прицепа к легковому автомобилю </w:t>
      </w:r>
      <w:r w:rsidR="00D37578" w:rsidRPr="00D375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УАЗ 8109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5A182E" w:rsidRPr="00C54B1B" w:rsidTr="00C54B1B">
        <w:tc>
          <w:tcPr>
            <w:tcW w:w="594" w:type="dxa"/>
          </w:tcPr>
          <w:bookmarkEnd w:id="0"/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5A182E" w:rsidRPr="002D0B30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5A182E" w:rsidRPr="00C54B1B" w:rsidRDefault="005A182E" w:rsidP="005225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Горно-Алтайска, постановление от 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5A182E" w:rsidRPr="00C54B1B" w:rsidRDefault="00DA387C" w:rsidP="00DA3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УАЗ 8190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категория: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1994; 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шасси (рама)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02477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кузов (кабина, прицеп) №: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102530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прицепа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разрешенная максимальная масса, кг: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>; масса без нагрузки, кг: 300; местонахождение:</w:t>
            </w:r>
            <w:proofErr w:type="gramEnd"/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 Россия, Республика Алтай, г. Горно-Алтайск,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18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5A182E" w:rsidRPr="00C54B1B" w:rsidRDefault="00DA387C" w:rsidP="00F10D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28 790 (Двадцать восемь тысяч семьсот девяносто) </w:t>
            </w:r>
            <w:r w:rsidR="005A182E"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 00 копеек, с учетом НДС.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</w:t>
            </w: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Продажа имущества, указанного в настоящем информационном сообщении, </w:t>
            </w:r>
            <w:r w:rsidR="00C01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ранее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не осуществлялась.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</w:t>
            </w:r>
            <w:r w:rsidR="005E6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5 758 (Пять тысяч семьсот пятьдесят восемь) </w:t>
            </w:r>
            <w:r w:rsidR="00237080">
              <w:rPr>
                <w:rFonts w:ascii="Times New Roman" w:hAnsi="Times New Roman" w:cs="Times New Roman"/>
                <w:b/>
                <w:sz w:val="28"/>
                <w:szCs w:val="28"/>
              </w:rPr>
              <w:t>рублей 00 копеек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, по следующим банковским реквизитам: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  <w:r w:rsidR="00482270" w:rsidRPr="00701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Задаток для участия в </w:t>
            </w:r>
            <w:r w:rsidR="004822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аукционе по продаже </w:t>
            </w:r>
            <w:r w:rsidR="005E62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прицепа к легковому автомобилю</w:t>
            </w:r>
            <w:r w:rsidR="004822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5A182E" w:rsidRPr="00955789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="0023708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A4D28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789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37080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2019 года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5A182E" w:rsidRPr="00482270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2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Внесение задатка третьими лицами не допускается.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чего договор о задатке считается заключенным в письменной форме.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53DC7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3DC7" w:rsidRPr="00153DC7">
              <w:rPr>
                <w:rFonts w:ascii="Times New Roman" w:hAnsi="Times New Roman" w:cs="Times New Roman"/>
                <w:bCs/>
                <w:sz w:val="28"/>
                <w:szCs w:val="28"/>
              </w:rPr>
              <w:t>апреля 2019 года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 час.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587B93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апреля 2019 года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17:00 час. 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возврата задатка должны быть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объеме, требуемом Продавцом.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правильность указанных реквизитов и соответствие их действительности несет Претендент.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3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копию свидетельства о государственной регистрации, свидетельства о постановке на налоговый учет.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C54B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отношений города Горно-Алтайска»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г. Горно-Алтайск, 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 403; телефон 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(388 22)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2-76-77;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2-78-86.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аукцион проводится в соответствии с Гражданским кодексом Российской Федерации, Федеральным законом от 21.12.2001 г.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 лица, индивидуальные предприниматели, а также 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955789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578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B58E3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2019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единой комиссии по проведению торгов и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кциона, продавец рассматривает заявки и документы претендентов, устанавливает факт поступления от претендентов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5A182E" w:rsidRPr="00C54B1B" w:rsidRDefault="005A182E" w:rsidP="00F06A3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F06A31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мая 2019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5E62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:00 час</w:t>
            </w:r>
            <w:proofErr w:type="gramStart"/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18,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 проведения аукциона.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иное не предусмотрено в законодательством Российской Федерации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 w:rsidR="005E62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58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5E62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:55 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4. После открытия аукциона аукционистом оглашаются наименование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основные его характеристики, начальная цена продажи и «шаг аукциона».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предоставляемый для заключения договора купли-продажи: в течение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аукциона и направляется ему в течение 5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5A182E" w:rsidRPr="00C54B1B" w:rsidRDefault="005A182E" w:rsidP="00654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</w:t>
            </w:r>
            <w:r w:rsidR="00654D01">
              <w:rPr>
                <w:rFonts w:ascii="Times New Roman" w:hAnsi="Times New Roman" w:cs="Times New Roman"/>
                <w:sz w:val="28"/>
                <w:szCs w:val="28"/>
              </w:rPr>
              <w:t xml:space="preserve">в таком случае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аннулируются продавцом.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5A182E" w:rsidRPr="00C54B1B" w:rsidRDefault="005A182E" w:rsidP="005E62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5E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1 439 (Одна тысяча четыреста тридцать девять) рублей 5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копеек.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5A182E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имущество; условия, в соответствии с которыми указанное имущество было приобретено покупателем;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приватизируемое имущество переходит к покупателю после государственной регистрации перехода права собственности.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B00A3F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  <w:p w:rsidR="005A182E" w:rsidRPr="00B00A3F" w:rsidRDefault="005A182E" w:rsidP="00B00A3F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E6267" w:rsidRDefault="005E6267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E6267" w:rsidRDefault="005E6267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E6267" w:rsidRDefault="005E6267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E38AF" w:rsidTr="007E38AF">
        <w:tc>
          <w:tcPr>
            <w:tcW w:w="4927" w:type="dxa"/>
          </w:tcPr>
          <w:p w:rsidR="007E38AF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Приложение 1 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7E38AF" w:rsidRPr="00C45195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«Город Горно-Алтайск» - </w:t>
            </w:r>
            <w:r w:rsidR="005E62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прицепа к легковому автомобилю</w:t>
            </w:r>
          </w:p>
          <w:p w:rsidR="007E38AF" w:rsidRDefault="007E38AF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38AF" w:rsidRDefault="007E38AF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66971" w:rsidRPr="00C45195" w:rsidRDefault="00366971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3"/>
        <w:rPr>
          <w:bCs/>
          <w:sz w:val="28"/>
          <w:szCs w:val="28"/>
        </w:rPr>
      </w:pPr>
      <w:r w:rsidRPr="00523167">
        <w:rPr>
          <w:bCs/>
          <w:sz w:val="28"/>
          <w:szCs w:val="28"/>
        </w:rPr>
        <w:t>Форма заявки на участие в аукционе</w:t>
      </w:r>
    </w:p>
    <w:p w:rsidR="005A182E" w:rsidRPr="00523167" w:rsidRDefault="005A182E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</w:p>
    <w:p w:rsidR="005A182E" w:rsidRPr="00523167" w:rsidRDefault="007E38AF" w:rsidP="005A182E">
      <w:pPr>
        <w:pStyle w:val="ac"/>
        <w:rPr>
          <w:szCs w:val="28"/>
          <w:u w:val="none"/>
        </w:rPr>
      </w:pPr>
      <w:r>
        <w:rPr>
          <w:szCs w:val="28"/>
          <w:u w:val="none"/>
        </w:rPr>
        <w:t>ЗАЯВК</w:t>
      </w:r>
      <w:r w:rsidR="005A182E" w:rsidRPr="00523167">
        <w:rPr>
          <w:szCs w:val="28"/>
          <w:u w:val="none"/>
        </w:rPr>
        <w:t>А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5A182E" w:rsidRDefault="005A182E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8E5667" w:rsidRPr="00523167" w:rsidRDefault="008E5667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 (при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5A182E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8E5667" w:rsidRPr="00523167" w:rsidRDefault="008E5667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5A182E" w:rsidRPr="00523167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A182E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8E5667" w:rsidRPr="00523167" w:rsidRDefault="008E5667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5667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</w:t>
      </w:r>
    </w:p>
    <w:p w:rsidR="00485A9F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lastRenderedPageBreak/>
        <w:t>__________________________________</w:t>
      </w:r>
      <w:r w:rsidR="00B00A3F">
        <w:rPr>
          <w:sz w:val="28"/>
          <w:szCs w:val="28"/>
        </w:rPr>
        <w:t>_______________________________</w:t>
      </w:r>
      <w:r w:rsidR="00B00A3F">
        <w:rPr>
          <w:sz w:val="28"/>
          <w:szCs w:val="28"/>
        </w:rPr>
        <w:br/>
      </w:r>
      <w:r w:rsidRPr="00523167">
        <w:rPr>
          <w:sz w:val="28"/>
          <w:szCs w:val="28"/>
        </w:rPr>
        <w:t>(наименование имущества, его основные характеристики и местонахождение)</w:t>
      </w:r>
      <w:r w:rsidR="00AE0938"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  <w:r w:rsidR="00AE0938">
        <w:rPr>
          <w:sz w:val="28"/>
          <w:szCs w:val="28"/>
        </w:rPr>
        <w:br/>
      </w:r>
      <w:r w:rsidR="00366971" w:rsidRPr="00B00A3F"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соблюдать условия аукциона, содержащиеся в информационном сообщении о проведении аукциона, размещенного на сайтах в сети Интернет, а также порядок проведения аукциона, установленный Положением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о продаже на аукционе государственного или муниципального имущества, утвержденным постановлением Правительства Российской Федерации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>от 12 августа 2002 г</w:t>
      </w:r>
      <w:r w:rsidR="00366971">
        <w:rPr>
          <w:sz w:val="28"/>
          <w:szCs w:val="28"/>
        </w:rPr>
        <w:t>ода</w:t>
      </w:r>
      <w:r w:rsidRPr="00523167">
        <w:rPr>
          <w:sz w:val="28"/>
          <w:szCs w:val="28"/>
        </w:rPr>
        <w:t xml:space="preserve"> № 585;</w:t>
      </w:r>
    </w:p>
    <w:p w:rsidR="00485A9F" w:rsidRDefault="00366971" w:rsidP="008E5667">
      <w:pPr>
        <w:pStyle w:val="aa"/>
        <w:rPr>
          <w:sz w:val="28"/>
          <w:szCs w:val="28"/>
        </w:rPr>
      </w:pPr>
      <w:r w:rsidRPr="00366971">
        <w:rPr>
          <w:sz w:val="28"/>
          <w:szCs w:val="28"/>
        </w:rPr>
        <w:tab/>
      </w:r>
      <w:r w:rsidR="005A182E"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="005A182E" w:rsidRPr="00523167">
        <w:rPr>
          <w:sz w:val="28"/>
          <w:szCs w:val="28"/>
        </w:rPr>
        <w:t>с даты подведения</w:t>
      </w:r>
      <w:proofErr w:type="gramEnd"/>
      <w:r w:rsidR="005A182E"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</w:t>
      </w:r>
      <w:r w:rsidR="00C4197A" w:rsidRPr="00523167">
        <w:rPr>
          <w:sz w:val="28"/>
          <w:szCs w:val="28"/>
        </w:rPr>
        <w:t>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 w:rsidRPr="00523167">
        <w:rPr>
          <w:sz w:val="28"/>
          <w:szCs w:val="28"/>
        </w:rPr>
        <w:t>Банковские реквизиты Претендента для возврата задатка</w:t>
      </w:r>
      <w:r w:rsidR="00C4197A">
        <w:rPr>
          <w:sz w:val="28"/>
          <w:szCs w:val="28"/>
        </w:rPr>
        <w:t>: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Получатель: __________________________________________________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Счет получателя:______________________________________________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 xml:space="preserve">Банк получателя:______________________________________________ </w:t>
      </w:r>
      <w:r w:rsidR="00C4197A">
        <w:rPr>
          <w:sz w:val="28"/>
          <w:szCs w:val="28"/>
        </w:rPr>
        <w:tab/>
        <w:t>ИНН банка получателя:________________________________________</w:t>
      </w:r>
      <w:r w:rsidR="00C4197A">
        <w:rPr>
          <w:sz w:val="28"/>
          <w:szCs w:val="28"/>
        </w:rPr>
        <w:br/>
      </w:r>
      <w:r w:rsidR="00C4197A">
        <w:rPr>
          <w:sz w:val="28"/>
          <w:szCs w:val="28"/>
        </w:rPr>
        <w:tab/>
        <w:t>БИК банка получателя:_________________________________________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Корреспондентский счет:_______________________________________</w:t>
      </w:r>
    </w:p>
    <w:p w:rsidR="00485A9F" w:rsidRDefault="00C4197A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Pr="00B73B5D">
        <w:rPr>
          <w:b/>
          <w:sz w:val="28"/>
          <w:szCs w:val="28"/>
        </w:rPr>
        <w:t>ИНН получателя</w:t>
      </w:r>
      <w:r>
        <w:rPr>
          <w:sz w:val="28"/>
          <w:szCs w:val="28"/>
        </w:rPr>
        <w:t>:_____________________________________________</w:t>
      </w:r>
    </w:p>
    <w:p w:rsidR="00C4197A" w:rsidRPr="00523167" w:rsidRDefault="008E5667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97A" w:rsidRPr="00523167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 w:rsidR="00C4197A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="00C4197A" w:rsidRPr="00523167">
        <w:rPr>
          <w:rFonts w:ascii="Times New Roman" w:hAnsi="Times New Roman" w:cs="Times New Roman"/>
          <w:sz w:val="28"/>
          <w:szCs w:val="28"/>
        </w:rPr>
        <w:t>, ознакомлены и согласны.</w:t>
      </w:r>
    </w:p>
    <w:p w:rsidR="00C4197A" w:rsidRPr="0052316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>Заявка с описью составлена в 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</w:t>
      </w:r>
      <w:r w:rsidRPr="00523167">
        <w:rPr>
          <w:rFonts w:ascii="Times New Roman" w:hAnsi="Times New Roman" w:cs="Times New Roman"/>
          <w:sz w:val="28"/>
          <w:szCs w:val="28"/>
        </w:rPr>
        <w:t>дин из которых остается у Продавца, другой - у Заявителя.</w:t>
      </w:r>
    </w:p>
    <w:p w:rsidR="00C4197A" w:rsidRPr="0043479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C4197A" w:rsidRPr="00523167" w:rsidRDefault="00C4197A" w:rsidP="00C4197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25903">
        <w:t>(при наличии)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C4197A" w:rsidRDefault="00C4197A" w:rsidP="00C4197A">
      <w:pPr>
        <w:pStyle w:val="aa"/>
        <w:rPr>
          <w:sz w:val="28"/>
          <w:szCs w:val="28"/>
        </w:rPr>
      </w:pPr>
    </w:p>
    <w:p w:rsidR="00955789" w:rsidRDefault="00955789" w:rsidP="00C4197A">
      <w:pPr>
        <w:pStyle w:val="aa"/>
        <w:rPr>
          <w:sz w:val="28"/>
          <w:szCs w:val="28"/>
        </w:rPr>
      </w:pPr>
    </w:p>
    <w:p w:rsidR="00955789" w:rsidRPr="00523167" w:rsidRDefault="00955789" w:rsidP="00C4197A">
      <w:pPr>
        <w:pStyle w:val="aa"/>
        <w:rPr>
          <w:sz w:val="28"/>
          <w:szCs w:val="28"/>
        </w:rPr>
      </w:pP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 xml:space="preserve">Опись </w:t>
      </w: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2E" w:rsidRPr="00523167" w:rsidRDefault="005A182E" w:rsidP="002B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3" w:rsidRDefault="002B58E3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E5667" w:rsidTr="00B31530">
        <w:tc>
          <w:tcPr>
            <w:tcW w:w="4927" w:type="dxa"/>
          </w:tcPr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2 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8E5667" w:rsidRDefault="008E5667" w:rsidP="005E62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по продаже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Горно-Алтайск» - </w:t>
            </w:r>
            <w:r w:rsidR="005E6267">
              <w:rPr>
                <w:rFonts w:ascii="Times New Roman" w:hAnsi="Times New Roman" w:cs="Times New Roman"/>
                <w:sz w:val="28"/>
                <w:szCs w:val="28"/>
              </w:rPr>
              <w:t>прицепа к легковому автомобилю</w:t>
            </w:r>
          </w:p>
        </w:tc>
      </w:tr>
    </w:tbl>
    <w:p w:rsidR="008E5667" w:rsidRDefault="008E5667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5A182E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Горно-Алтайск» от 22.12.2016 г. № 35-11, с одной стороны,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ПРЕДМЕТ ДОГОВОРА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 20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5A182E" w:rsidRPr="008E5667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Задаток для участия в аукционе по продаже </w:t>
      </w:r>
      <w:r w:rsidR="005E62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прицепа к легковому автомобилю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5A182E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5E6267">
        <w:rPr>
          <w:rFonts w:ascii="Times New Roman" w:eastAsia="Times New Roman" w:hAnsi="Times New Roman" w:cs="Times New Roman"/>
          <w:sz w:val="28"/>
          <w:szCs w:val="28"/>
          <w:lang w:eastAsia="ru-RU"/>
        </w:rPr>
        <w:t>5 758 (Пять тысяч семьсот пятьдесят восемь</w:t>
      </w:r>
      <w:r w:rsidR="0007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ВНЕСЕНИЯ ЗАДАТКА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п.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7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201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евнесение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B31530" w:rsidRDefault="00B31530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E6267" w:rsidRDefault="005E6267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E6267" w:rsidRPr="00B22503" w:rsidRDefault="005E6267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ВОЗВРАТА И УДЕРЖАНИЯ ЗАДАТКА</w:t>
      </w:r>
    </w:p>
    <w:p w:rsidR="002B58E3" w:rsidRDefault="002B58E3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разделе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отвечает за нарушение установленных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поступления Продавцу от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отзыве заявки.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Имущества 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возвращает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5A182E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B31530" w:rsidRDefault="00B31530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5A182E" w:rsidRPr="0007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ДЕЙСТВИЯ НАСТОЯЩЕГО ДОГОВОРА</w:t>
      </w: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возможные споры и разногласия,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Pr="00FB5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82E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182E"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A182E" w:rsidRPr="0007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И РЕКВИЗИТЫ СТОРОН</w:t>
      </w:r>
    </w:p>
    <w:p w:rsidR="000776E0" w:rsidRPr="000776E0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B2250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5A182E" w:rsidRPr="00D37578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5A182E" w:rsidRPr="00746D1C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hyperlink r:id="rId18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746D1C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A182E" w:rsidRPr="00B2250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A182E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</w:t>
            </w:r>
          </w:p>
          <w:p w:rsidR="000776E0" w:rsidRPr="00B22503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5A182E" w:rsidP="005A182E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6E0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31530" w:rsidTr="00B3153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1530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</w:t>
            </w: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«Город Горно-Алтайск» - </w:t>
            </w:r>
            <w:r w:rsidR="005E62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прицепа к легковому автомобилю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31530" w:rsidRDefault="00B31530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1530" w:rsidRDefault="00B31530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5A182E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217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</w:t>
      </w:r>
      <w:r w:rsidR="006C6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A182E" w:rsidRPr="00C83BC9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 xml:space="preserve">КУПЛИ-ПРОДАЖИ </w:t>
      </w:r>
      <w:r w:rsidR="006C6217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Pr="00C83B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 w:rsidR="000776E0">
        <w:rPr>
          <w:rFonts w:ascii="Times New Roman" w:hAnsi="Times New Roman" w:cs="Times New Roman"/>
          <w:sz w:val="28"/>
          <w:szCs w:val="28"/>
        </w:rPr>
        <w:t>9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Владимировны,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«Город Горно-Алтайск» от 22.12.2016 г.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178-ФЗ «О приватизации государственного и муниципального имущества», Постановлением Правительства РФ от 12.08.2002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Горно-Алтайская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16.03.2018 г. № 29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 xml:space="preserve">, на основании протокола о подведении итогов аукциона по </w:t>
      </w:r>
      <w:r w:rsidRPr="001160C7">
        <w:rPr>
          <w:rFonts w:ascii="Times New Roman" w:hAnsi="Times New Roman" w:cs="Times New Roman"/>
          <w:sz w:val="28"/>
          <w:szCs w:val="28"/>
        </w:rPr>
        <w:lastRenderedPageBreak/>
        <w:t>продаже муниципального имущества муниципального образования «Город Горно-Алтайск» от «___» ______201</w:t>
      </w:r>
      <w:r w:rsidR="00955789">
        <w:rPr>
          <w:rFonts w:ascii="Times New Roman" w:hAnsi="Times New Roman" w:cs="Times New Roman"/>
          <w:sz w:val="28"/>
          <w:szCs w:val="28"/>
        </w:rPr>
        <w:t xml:space="preserve">9 </w:t>
      </w:r>
      <w:r w:rsidR="009E6633">
        <w:rPr>
          <w:rFonts w:ascii="Times New Roman" w:hAnsi="Times New Roman" w:cs="Times New Roman"/>
          <w:sz w:val="28"/>
          <w:szCs w:val="28"/>
        </w:rPr>
        <w:t>г</w:t>
      </w:r>
      <w:r w:rsidR="00955789">
        <w:rPr>
          <w:rFonts w:ascii="Times New Roman" w:hAnsi="Times New Roman" w:cs="Times New Roman"/>
          <w:sz w:val="28"/>
          <w:szCs w:val="28"/>
        </w:rPr>
        <w:t>ода</w:t>
      </w:r>
      <w:r w:rsidR="009E6633">
        <w:rPr>
          <w:rFonts w:ascii="Times New Roman" w:hAnsi="Times New Roman" w:cs="Times New Roman"/>
          <w:sz w:val="28"/>
          <w:szCs w:val="28"/>
        </w:rPr>
        <w:t xml:space="preserve"> № _________, </w:t>
      </w:r>
      <w:r w:rsidRPr="001160C7">
        <w:rPr>
          <w:rFonts w:ascii="Times New Roman" w:hAnsi="Times New Roman" w:cs="Times New Roman"/>
          <w:sz w:val="28"/>
          <w:szCs w:val="28"/>
        </w:rPr>
        <w:t>заключили настоящий договор (далее – Договор)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0776E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82E" w:rsidRPr="001160C7" w:rsidRDefault="00197F1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 w:rsidR="005A182E"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 (именуемый в дальнейшем «имущество»).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РАСЧЕТЫ ПО ДОГОВОРУ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НДС </w:t>
      </w:r>
      <w:r w:rsidR="00077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</w:t>
      </w:r>
      <w:r w:rsidR="009E6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Покупателем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производиться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775"/>
      </w:tblGrid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5A182E" w:rsidRPr="001160C7" w:rsidRDefault="005A182E" w:rsidP="009E6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купли-продажи от «__» _____201</w:t>
            </w:r>
            <w:r w:rsidR="0007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 __________</w:t>
            </w:r>
          </w:p>
        </w:tc>
      </w:tr>
    </w:tbl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A182E" w:rsidRPr="001160C7" w:rsidRDefault="005A182E" w:rsidP="005A182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является физическое лицо, уплата НДС осуществляется в соответствии с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E6633" w:rsidRPr="001A5083" w:rsidRDefault="009E6633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33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E0">
        <w:rPr>
          <w:rFonts w:ascii="Times New Roman" w:hAnsi="Times New Roman" w:cs="Times New Roman"/>
          <w:b/>
          <w:sz w:val="28"/>
          <w:szCs w:val="28"/>
        </w:rPr>
        <w:t>3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0776E0" w:rsidRPr="009E6633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 по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5A182E" w:rsidRDefault="005A182E" w:rsidP="005A182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ПЕРЕДАЧА ИМУЩЕСТВА И 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ПЕРЕХОД ПРАВА СОБСТВЕННОСТИ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0776E0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9E6633" w:rsidRPr="000776E0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РАЗРЕШЕНИЯ СПОРОВ 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 10 (Десять) календ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9E6633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776E0" w:rsidRDefault="000776E0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>7.1.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2D95" w:rsidRDefault="000D2D95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2D95" w:rsidRDefault="000D2D95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1A508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D37578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имущества, градостроительства и земельных отношений города Горно-Алтайска»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Отделение НБ РА Банка России г.Горно-Алтайск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9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5A182E" w:rsidRPr="001A508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0D2D95" w:rsidRPr="001A5083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E6633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0D2D95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5A182E" w:rsidRPr="001A5083" w:rsidRDefault="009E6633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A182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A182E"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9E6633"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182E" w:rsidRPr="001A5083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6C6217" w:rsidTr="006C6217">
        <w:tc>
          <w:tcPr>
            <w:tcW w:w="9571" w:type="dxa"/>
          </w:tcPr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договору купли-продажи движимого имущества от «__»_____2019 года №____</w:t>
            </w:r>
          </w:p>
        </w:tc>
      </w:tr>
    </w:tbl>
    <w:p w:rsidR="005A182E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5A182E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«__»________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года</w:t>
      </w:r>
    </w:p>
    <w:p w:rsidR="005A182E" w:rsidRPr="001A5083" w:rsidRDefault="005A182E" w:rsidP="005A18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начальника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 от 22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0AB05556589844EE8781F6089223DD41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0AB05556589844EE8781F6089223DD41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 w:rsidR="005803E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proofErr w:type="gramStart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 в собственность Покупателя имущество</w:t>
      </w:r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Оплата цены продажи Имущества произведена Покупателем полностью.</w:t>
      </w:r>
    </w:p>
    <w:p w:rsidR="000D2D95" w:rsidRDefault="000D2D95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D95" w:rsidRPr="001A5083" w:rsidRDefault="000D2D95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182E" w:rsidRPr="001A5083" w:rsidTr="009557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Продавец: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B148AF" w:rsidTr="00955789">
        <w:trPr>
          <w:trHeight w:val="2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№ 40101810500000010000    Отделение НБ РА Банка России г.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горно-Алтайск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B148AF" w:rsidRDefault="005A182E" w:rsidP="000D2D95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20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B148AF" w:rsidRDefault="005A182E" w:rsidP="000D2D9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182E" w:rsidRPr="001A5083" w:rsidTr="00955789">
        <w:trPr>
          <w:trHeight w:val="25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A182E" w:rsidRPr="001A5083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Челтушашева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55789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5A182E" w:rsidP="000D2D9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A182E" w:rsidRPr="001A5083" w:rsidRDefault="00955789" w:rsidP="009557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«____»__________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</w:p>
        </w:tc>
      </w:tr>
    </w:tbl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ED6ACD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99775A" w:rsidRDefault="005A182E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F7" w:rsidRPr="005A182E" w:rsidRDefault="004D62F7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62F7" w:rsidRPr="005A182E">
      <w:head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57" w:rsidRDefault="002C3D57">
      <w:pPr>
        <w:spacing w:after="0" w:line="240" w:lineRule="auto"/>
      </w:pPr>
      <w:r>
        <w:separator/>
      </w:r>
    </w:p>
  </w:endnote>
  <w:endnote w:type="continuationSeparator" w:id="0">
    <w:p w:rsidR="002C3D57" w:rsidRDefault="002C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52874"/>
    </w:sdtPr>
    <w:sdtEndPr/>
    <w:sdtContent>
      <w:p w:rsidR="00DA387C" w:rsidRDefault="00DA387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1777A17" wp14:editId="7F93926D">
                  <wp:extent cx="5943600" cy="45085"/>
                  <wp:effectExtent l="0" t="9525" r="0" b="2540"/>
                  <wp:docPr id="1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NMzzyr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A387C" w:rsidRDefault="00DA387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37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87C" w:rsidRDefault="00DA38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5905"/>
    </w:sdtPr>
    <w:sdtEndPr/>
    <w:sdtContent>
      <w:p w:rsidR="00DA387C" w:rsidRDefault="00DA387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0098961" wp14:editId="08E7F32E">
                  <wp:extent cx="5943600" cy="45085"/>
                  <wp:effectExtent l="0" t="9525" r="0" b="2540"/>
                  <wp:docPr id="2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A387C" w:rsidRDefault="00DA387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87C" w:rsidRDefault="00DA38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DA387C" w:rsidRDefault="00DA387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BB43DE" wp14:editId="78277110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A387C" w:rsidRDefault="00DA387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37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87C" w:rsidRDefault="00DA387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DA387C" w:rsidRDefault="00DA387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A5A88C" wp14:editId="0B3FE82A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A387C" w:rsidRDefault="00DA387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87C" w:rsidRDefault="00DA3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57" w:rsidRDefault="002C3D57">
      <w:pPr>
        <w:spacing w:after="0" w:line="240" w:lineRule="auto"/>
      </w:pPr>
      <w:r>
        <w:separator/>
      </w:r>
    </w:p>
  </w:footnote>
  <w:footnote w:type="continuationSeparator" w:id="0">
    <w:p w:rsidR="002C3D57" w:rsidRDefault="002C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7C" w:rsidRDefault="00D375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55pt;height:394.7pt;z-index:-25165209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4" type="#_x0000_t75" style="position:absolute;margin-left:0;margin-top:0;width:467.55pt;height:394.7pt;z-index:-25165107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7C" w:rsidRDefault="00D375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55pt;height:394.7pt;z-index:-25165004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6" type="#_x0000_t75" style="position:absolute;margin-left:0;margin-top:0;width:467.55pt;height:394.7pt;z-index:-25164902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7C" w:rsidRDefault="00D375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7C" w:rsidRDefault="00D375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A"/>
    <w:rsid w:val="0000398E"/>
    <w:rsid w:val="000305D4"/>
    <w:rsid w:val="000776E0"/>
    <w:rsid w:val="000C79C6"/>
    <w:rsid w:val="000D2D95"/>
    <w:rsid w:val="001142D5"/>
    <w:rsid w:val="00153DC7"/>
    <w:rsid w:val="00195719"/>
    <w:rsid w:val="00197F1E"/>
    <w:rsid w:val="00237080"/>
    <w:rsid w:val="002652B1"/>
    <w:rsid w:val="002B58E3"/>
    <w:rsid w:val="002C3D57"/>
    <w:rsid w:val="002D0B30"/>
    <w:rsid w:val="002D6768"/>
    <w:rsid w:val="00366971"/>
    <w:rsid w:val="00383622"/>
    <w:rsid w:val="003B2F15"/>
    <w:rsid w:val="0042085A"/>
    <w:rsid w:val="00482270"/>
    <w:rsid w:val="00485A9F"/>
    <w:rsid w:val="004D62F7"/>
    <w:rsid w:val="005225B2"/>
    <w:rsid w:val="005803E7"/>
    <w:rsid w:val="00587B93"/>
    <w:rsid w:val="005A182E"/>
    <w:rsid w:val="005E6267"/>
    <w:rsid w:val="00654D01"/>
    <w:rsid w:val="006A2EFE"/>
    <w:rsid w:val="006C6217"/>
    <w:rsid w:val="00746D1C"/>
    <w:rsid w:val="007E38AF"/>
    <w:rsid w:val="008B20E1"/>
    <w:rsid w:val="008E5667"/>
    <w:rsid w:val="008F395A"/>
    <w:rsid w:val="00955789"/>
    <w:rsid w:val="0096071B"/>
    <w:rsid w:val="009A4D28"/>
    <w:rsid w:val="009E5D7A"/>
    <w:rsid w:val="009E6633"/>
    <w:rsid w:val="00A01442"/>
    <w:rsid w:val="00AE0938"/>
    <w:rsid w:val="00B00A3F"/>
    <w:rsid w:val="00B31530"/>
    <w:rsid w:val="00B75963"/>
    <w:rsid w:val="00C014A2"/>
    <w:rsid w:val="00C4197A"/>
    <w:rsid w:val="00C45195"/>
    <w:rsid w:val="00C54B1B"/>
    <w:rsid w:val="00CD22D3"/>
    <w:rsid w:val="00D007F3"/>
    <w:rsid w:val="00D064E0"/>
    <w:rsid w:val="00D37578"/>
    <w:rsid w:val="00D5564A"/>
    <w:rsid w:val="00D9755B"/>
    <w:rsid w:val="00DA387C"/>
    <w:rsid w:val="00DB113F"/>
    <w:rsid w:val="00E06651"/>
    <w:rsid w:val="00F06A31"/>
    <w:rsid w:val="00F10D5B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hyperlink" Target="mailto:&#1086;us_imuchestvo@mail.ru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D7D4002B13791F3DED4AAE2A68B606B2367E57981C2B52CB3297B575D1364138B2F9552B52CF1Q9P3H" TargetMode="External"/><Relationship Id="rId17" Type="http://schemas.openxmlformats.org/officeDocument/2006/relationships/hyperlink" Target="http://pandia.ru/text/category/informatcionnie_byulleten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&#1086;us_imuchestvo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05556589844EE8781F6089223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B33B7-41CA-46F1-8A4A-0FE6E8ABBBF7}"/>
      </w:docPartPr>
      <w:docPartBody>
        <w:p w:rsidR="003A0CB2" w:rsidRDefault="003A0CB2" w:rsidP="003A0CB2">
          <w:pPr>
            <w:pStyle w:val="0AB05556589844EE8781F6089223DD4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2"/>
    <w:rsid w:val="0019774C"/>
    <w:rsid w:val="003A0CB2"/>
    <w:rsid w:val="004E4698"/>
    <w:rsid w:val="00A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65CD-0296-49F7-83DD-998FC35A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25</Pages>
  <Words>7071</Words>
  <Characters>40308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2019-03-29T02:30:00Z</cp:lastPrinted>
  <dcterms:created xsi:type="dcterms:W3CDTF">2019-03-28T02:08:00Z</dcterms:created>
  <dcterms:modified xsi:type="dcterms:W3CDTF">2019-04-02T09:54:00Z</dcterms:modified>
</cp:coreProperties>
</file>