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D97C16">
      <w:pPr>
        <w:spacing w:after="0" w:line="235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D97C16">
      <w:pPr>
        <w:spacing w:after="0" w:line="235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D97C16">
      <w:pPr>
        <w:spacing w:after="0" w:line="235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D97C16">
      <w:pPr>
        <w:spacing w:after="0" w:line="235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B61030" w:rsidRPr="00B61030">
        <w:rPr>
          <w:rFonts w:ascii="Times New Roman" w:hAnsi="Times New Roman"/>
          <w:bCs/>
          <w:spacing w:val="-4"/>
          <w:sz w:val="27"/>
          <w:szCs w:val="27"/>
        </w:rPr>
        <w:t xml:space="preserve">Об утверждении муниципальной </w:t>
      </w:r>
      <w:hyperlink w:anchor="Par41" w:history="1">
        <w:r w:rsidR="00B61030" w:rsidRPr="00B61030">
          <w:rPr>
            <w:rFonts w:ascii="Times New Roman" w:hAnsi="Times New Roman"/>
            <w:bCs/>
            <w:spacing w:val="-4"/>
            <w:sz w:val="27"/>
            <w:szCs w:val="27"/>
          </w:rPr>
          <w:t>программ</w:t>
        </w:r>
      </w:hyperlink>
      <w:r w:rsidR="00B61030" w:rsidRPr="00B61030">
        <w:rPr>
          <w:rFonts w:ascii="Times New Roman" w:hAnsi="Times New Roman"/>
          <w:bCs/>
          <w:spacing w:val="-4"/>
          <w:sz w:val="27"/>
          <w:szCs w:val="27"/>
        </w:rPr>
        <w:t>ы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2020 - 2025 годы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B61030" w:rsidRPr="00B61030" w:rsidRDefault="00B61030" w:rsidP="00D97C16">
      <w:pPr>
        <w:pStyle w:val="ConsPlusNormal"/>
        <w:spacing w:line="235" w:lineRule="auto"/>
        <w:ind w:firstLine="709"/>
        <w:jc w:val="both"/>
        <w:rPr>
          <w:bCs/>
          <w:spacing w:val="-4"/>
          <w:sz w:val="27"/>
          <w:szCs w:val="27"/>
          <w:lang w:eastAsia="en-US"/>
        </w:rPr>
      </w:pPr>
      <w:proofErr w:type="gramStart"/>
      <w:r w:rsidRPr="00B61030">
        <w:rPr>
          <w:bCs/>
          <w:spacing w:val="-4"/>
          <w:sz w:val="27"/>
          <w:szCs w:val="27"/>
          <w:lang w:eastAsia="en-US"/>
        </w:rPr>
        <w:t>Проект постановления предусматривается утверждение новой муниципальной программы муниципального образования «Город Горно-Алтайск» «Развитие экономического п</w:t>
      </w:r>
      <w:r>
        <w:rPr>
          <w:bCs/>
          <w:spacing w:val="-4"/>
          <w:sz w:val="27"/>
          <w:szCs w:val="27"/>
          <w:lang w:eastAsia="en-US"/>
        </w:rPr>
        <w:t>отенциала и предпринимательства</w:t>
      </w:r>
      <w:r w:rsidRPr="00B61030">
        <w:rPr>
          <w:bCs/>
          <w:spacing w:val="-4"/>
          <w:sz w:val="27"/>
          <w:szCs w:val="27"/>
          <w:lang w:eastAsia="en-US"/>
        </w:rPr>
        <w:t xml:space="preserve"> в муниципальном образовании «Город Горно-Алтайск» на 2020 - 2025 годы» (далее – муниципальная программа), в связи с окончанием срока реализации муниципальной программы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2014 - 2019 годы».</w:t>
      </w:r>
      <w:proofErr w:type="gramEnd"/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D97C16" w:rsidRPr="00D853BE" w:rsidRDefault="00922B46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>
        <w:rPr>
          <w:bCs/>
          <w:spacing w:val="-4"/>
          <w:sz w:val="27"/>
          <w:szCs w:val="27"/>
        </w:rPr>
        <w:t xml:space="preserve">В конце 2019 года истекает срок реализации </w:t>
      </w:r>
      <w:r w:rsidRPr="00B61030">
        <w:rPr>
          <w:bCs/>
          <w:spacing w:val="-4"/>
          <w:sz w:val="27"/>
          <w:szCs w:val="27"/>
          <w:lang w:eastAsia="en-US"/>
        </w:rPr>
        <w:t>муниципальной программы муниципального образования «Город Горно-Алтайск» «Развитие экономического потенциала и предпринимательства в муниципальном образовании «Город Горн</w:t>
      </w:r>
      <w:r w:rsidR="00D97C16">
        <w:rPr>
          <w:bCs/>
          <w:spacing w:val="-4"/>
          <w:sz w:val="27"/>
          <w:szCs w:val="27"/>
          <w:lang w:eastAsia="en-US"/>
        </w:rPr>
        <w:t xml:space="preserve">о-Алтайск» на 2014 - 2019 годы» и необходимостью продолжения </w:t>
      </w:r>
      <w:r w:rsidR="00D97C16">
        <w:rPr>
          <w:spacing w:val="-7"/>
          <w:sz w:val="27"/>
          <w:szCs w:val="27"/>
        </w:rPr>
        <w:t>создания</w:t>
      </w:r>
      <w:r w:rsidR="00D97C16" w:rsidRPr="00D853BE">
        <w:rPr>
          <w:spacing w:val="-7"/>
          <w:sz w:val="27"/>
          <w:szCs w:val="27"/>
        </w:rPr>
        <w:t xml:space="preserve"> условий для развития экономического потенциала и предпринимательства в муниципальном образовании «Город Горно-Алтайск».</w:t>
      </w:r>
    </w:p>
    <w:p w:rsidR="00922B46" w:rsidRPr="00B61030" w:rsidRDefault="00922B46" w:rsidP="00D97C16">
      <w:pPr>
        <w:pStyle w:val="ConsPlusNormal"/>
        <w:spacing w:line="235" w:lineRule="auto"/>
        <w:ind w:firstLine="709"/>
        <w:jc w:val="both"/>
        <w:rPr>
          <w:bCs/>
          <w:spacing w:val="-4"/>
          <w:sz w:val="27"/>
          <w:szCs w:val="27"/>
          <w:lang w:eastAsia="en-US"/>
        </w:rPr>
      </w:pPr>
      <w:r>
        <w:rPr>
          <w:bCs/>
          <w:spacing w:val="-4"/>
          <w:sz w:val="27"/>
          <w:szCs w:val="27"/>
          <w:lang w:eastAsia="en-US"/>
        </w:rPr>
        <w:t>В связи с чем, необходимо принять новую муниципальную программу</w:t>
      </w:r>
      <w:r w:rsidRPr="00B61030">
        <w:rPr>
          <w:bCs/>
          <w:spacing w:val="-4"/>
          <w:sz w:val="27"/>
          <w:szCs w:val="27"/>
          <w:lang w:eastAsia="en-US"/>
        </w:rPr>
        <w:t xml:space="preserve"> на 2020 - 2025 годы</w:t>
      </w:r>
      <w:r>
        <w:rPr>
          <w:bCs/>
          <w:spacing w:val="-4"/>
          <w:sz w:val="27"/>
          <w:szCs w:val="27"/>
          <w:lang w:eastAsia="en-US"/>
        </w:rPr>
        <w:t>.</w:t>
      </w: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Default="00292229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D853BE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="00D853BE" w:rsidRPr="00D853BE">
        <w:rPr>
          <w:rFonts w:ascii="Times New Roman" w:hAnsi="Times New Roman"/>
          <w:bCs/>
          <w:spacing w:val="-4"/>
          <w:sz w:val="27"/>
          <w:szCs w:val="27"/>
        </w:rPr>
        <w:t>, туристы Республики Алтай.</w:t>
      </w:r>
    </w:p>
    <w:p w:rsidR="00D97C16" w:rsidRPr="00D853BE" w:rsidRDefault="00D97C16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Предполагаемая дата вступления в силу – сентябрь 2019 года.</w:t>
      </w: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Целью муниципальной программы является  - создание условий для развития экономического потенциала и предпринимательства в муниципальном образовании «Город Горно-Алтайск».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proofErr w:type="gramStart"/>
      <w:r w:rsidRPr="00D853BE">
        <w:rPr>
          <w:spacing w:val="-7"/>
          <w:sz w:val="27"/>
          <w:szCs w:val="27"/>
        </w:rPr>
        <w:t>Задачами муниципальной программы определены:</w:t>
      </w:r>
      <w:proofErr w:type="gramEnd"/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а) содействие развитию малого и среднего предпринимательства                                   в муниципальном образовании «Город Горно-Алтайск»;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б) повышение туристической привлекательности муниципального образования «Город Горно-Алтайск».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Достижение поставленных задач программы будет осуществляться в рамках двух подпрограмм: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а) развитие малого и среднего предпринимательства в муниципальном образовании «Город Горно-Алтайск» на 2020 - 2025 годы (далее – подпрограмма № 1);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lastRenderedPageBreak/>
        <w:t>б) развитие внутреннего и въездного туризма в муниципальном образовании «Город Горно-Алтайск» на 2020 - 2025 годы (далее – подпрограмма № 2).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 xml:space="preserve">В рамках </w:t>
      </w:r>
      <w:r w:rsidRPr="00D853BE">
        <w:rPr>
          <w:i/>
          <w:spacing w:val="-7"/>
          <w:sz w:val="27"/>
          <w:szCs w:val="27"/>
        </w:rPr>
        <w:t>подпрограммы №</w:t>
      </w:r>
      <w:r w:rsidRPr="00D853BE">
        <w:rPr>
          <w:spacing w:val="-7"/>
          <w:sz w:val="27"/>
          <w:szCs w:val="27"/>
        </w:rPr>
        <w:t xml:space="preserve"> 1 планируется реализовать следующие основные мероприятия: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а) поддержка малого и среднего предпринимательства.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В рамках основного мероприятия реализуются следующие мероприятия: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предоставление финансовой поддержки субъектам малого и среднего предпринимательства;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оказание имущественной поддержки субъектам малого и среднего предпринимательства в виде предоставления муниципальной преференции путем передачи во владение и (или) пользование муниципального имущества муниципального образования «Город Горно-Алтайск», включенного в Перечень, без торгов;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б) улучшение условий ведения предпринимательской деятельности.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В рамках основного мероприятия реализуются следующие мероприятия: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информационно-консультационная поддержка субъектов малого и среднего предпринимательства и пропаганда предпринимательской и инвестиционной деятельности;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поддержка организации выставочно-ярмарочной деятельности, участие в республиканских, общероссийских, межрегиональных, городских и межмуниципальных выставках, ярмарках;</w:t>
      </w:r>
    </w:p>
    <w:p w:rsidR="00D853BE" w:rsidRP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организация и проведение «круглых столов», семинаров, ярмарок, конференций, советов, конкурсов, праздников с участием субъектов малого и среднего предпринимательства.</w:t>
      </w:r>
    </w:p>
    <w:p w:rsidR="00D853BE" w:rsidRPr="00D853BE" w:rsidRDefault="00D853BE" w:rsidP="00D97C16">
      <w:pPr>
        <w:spacing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 xml:space="preserve">В рамках </w:t>
      </w:r>
      <w:r w:rsidRPr="00D853BE">
        <w:rPr>
          <w:rFonts w:ascii="Times New Roman" w:hAnsi="Times New Roman"/>
          <w:i/>
          <w:spacing w:val="-7"/>
          <w:sz w:val="27"/>
          <w:szCs w:val="27"/>
        </w:rPr>
        <w:t>подпрограммы № 2</w:t>
      </w:r>
      <w:r w:rsidRPr="00D853BE">
        <w:rPr>
          <w:rFonts w:ascii="Times New Roman" w:hAnsi="Times New Roman"/>
          <w:spacing w:val="-7"/>
          <w:sz w:val="27"/>
          <w:szCs w:val="27"/>
        </w:rPr>
        <w:t xml:space="preserve"> планируется реализовать следующие основные мероприятия:</w:t>
      </w:r>
    </w:p>
    <w:p w:rsidR="00D853BE" w:rsidRPr="00D853BE" w:rsidRDefault="00D853BE" w:rsidP="00D97C16">
      <w:pPr>
        <w:spacing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proofErr w:type="gramStart"/>
      <w:r w:rsidRPr="00D853BE">
        <w:rPr>
          <w:rFonts w:ascii="Times New Roman" w:hAnsi="Times New Roman"/>
          <w:spacing w:val="-7"/>
          <w:sz w:val="27"/>
          <w:szCs w:val="27"/>
        </w:rPr>
        <w:t xml:space="preserve">- поддержка организации выставочно-ярмарочной деятельности, участие в республиканских, межрегиональных, городских туристских мероприятиях (выставках, ярмарках, семинарах, совещаниях); </w:t>
      </w:r>
      <w:proofErr w:type="gramEnd"/>
    </w:p>
    <w:p w:rsidR="00D853BE" w:rsidRPr="00D853BE" w:rsidRDefault="00D853BE" w:rsidP="00D97C16">
      <w:pPr>
        <w:spacing w:after="0"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>- организация и проведение «круглых столов», конференций, совещаний, семинаров, ярмарок с участием субъектов малого и среднего предпринимательства;</w:t>
      </w:r>
    </w:p>
    <w:p w:rsidR="00D853BE" w:rsidRPr="00D853BE" w:rsidRDefault="00D853BE" w:rsidP="00D97C16">
      <w:pPr>
        <w:spacing w:after="0"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>- организация проведения событийных мероприятий.</w:t>
      </w:r>
    </w:p>
    <w:p w:rsidR="00D853BE" w:rsidRDefault="00D853BE" w:rsidP="00D97C16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hyperlink w:anchor="Par605" w:history="1">
        <w:r w:rsidRPr="00D853BE">
          <w:rPr>
            <w:spacing w:val="-7"/>
            <w:sz w:val="27"/>
            <w:szCs w:val="27"/>
          </w:rPr>
          <w:t>Перечень</w:t>
        </w:r>
      </w:hyperlink>
      <w:r w:rsidRPr="00D853BE">
        <w:rPr>
          <w:spacing w:val="-7"/>
          <w:sz w:val="27"/>
          <w:szCs w:val="27"/>
        </w:rPr>
        <w:t xml:space="preserve"> основных мероприятий программы и детализация по мероприятиям с указанием исполнителей, непосредственных результатов и целевых показателей, для </w:t>
      </w:r>
      <w:proofErr w:type="gramStart"/>
      <w:r w:rsidRPr="00D853BE">
        <w:rPr>
          <w:spacing w:val="-7"/>
          <w:sz w:val="27"/>
          <w:szCs w:val="27"/>
        </w:rPr>
        <w:t>достижения</w:t>
      </w:r>
      <w:proofErr w:type="gramEnd"/>
      <w:r w:rsidRPr="00D853BE">
        <w:rPr>
          <w:spacing w:val="-7"/>
          <w:sz w:val="27"/>
          <w:szCs w:val="27"/>
        </w:rPr>
        <w:t xml:space="preserve"> которого реализуется основное мероприятие и мероприятия, представлен в приложении № 2 к муниципальной программе.</w:t>
      </w:r>
    </w:p>
    <w:p w:rsidR="00D853BE" w:rsidRPr="00D853BE" w:rsidRDefault="00D853BE" w:rsidP="00D97C16">
      <w:pPr>
        <w:pStyle w:val="ConsPlusNormal"/>
        <w:spacing w:line="235" w:lineRule="auto"/>
        <w:ind w:firstLine="709"/>
        <w:jc w:val="both"/>
        <w:rPr>
          <w:spacing w:val="-7"/>
          <w:sz w:val="27"/>
          <w:szCs w:val="27"/>
        </w:rPr>
      </w:pPr>
      <w:r>
        <w:rPr>
          <w:spacing w:val="-7"/>
          <w:sz w:val="27"/>
          <w:szCs w:val="27"/>
        </w:rPr>
        <w:t xml:space="preserve">По итогам реализации муниципальной программы предусмотрено достижение целевых показателей. </w:t>
      </w:r>
      <w:hyperlink w:anchor="Par479" w:history="1">
        <w:r w:rsidRPr="00D853BE">
          <w:rPr>
            <w:spacing w:val="-7"/>
            <w:sz w:val="27"/>
            <w:szCs w:val="27"/>
          </w:rPr>
          <w:t>Сведения</w:t>
        </w:r>
      </w:hyperlink>
      <w:r w:rsidRPr="00D853BE">
        <w:rPr>
          <w:spacing w:val="-7"/>
          <w:sz w:val="27"/>
          <w:szCs w:val="27"/>
        </w:rPr>
        <w:t xml:space="preserve"> о составе и значениях целевых показателей по годам реализации программы приведены в приложении № 1 к муниципальной программе.</w:t>
      </w: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834C5" w:rsidRPr="00D97C16" w:rsidRDefault="002834C5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76F1A" w:rsidRPr="001D3C71" w:rsidRDefault="00D853BE" w:rsidP="00D97C16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24.07</w:t>
      </w:r>
      <w:r w:rsidR="00F14E90">
        <w:rPr>
          <w:rFonts w:ascii="Times New Roman" w:hAnsi="Times New Roman"/>
          <w:bCs/>
          <w:sz w:val="27"/>
          <w:szCs w:val="27"/>
        </w:rPr>
        <w:t>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D97C16">
      <w:pgSz w:w="11906" w:h="16838"/>
      <w:pgMar w:top="851" w:right="680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834C5"/>
    <w:rsid w:val="00292229"/>
    <w:rsid w:val="00306FFA"/>
    <w:rsid w:val="003C26FB"/>
    <w:rsid w:val="003E6F70"/>
    <w:rsid w:val="003E78A0"/>
    <w:rsid w:val="00433743"/>
    <w:rsid w:val="0046314B"/>
    <w:rsid w:val="004E02B3"/>
    <w:rsid w:val="00531D0D"/>
    <w:rsid w:val="00546010"/>
    <w:rsid w:val="00566FB2"/>
    <w:rsid w:val="00575735"/>
    <w:rsid w:val="006A080A"/>
    <w:rsid w:val="006C5BAF"/>
    <w:rsid w:val="006C5F6B"/>
    <w:rsid w:val="006F21C9"/>
    <w:rsid w:val="007509B3"/>
    <w:rsid w:val="00782A6D"/>
    <w:rsid w:val="007D30E3"/>
    <w:rsid w:val="008476B6"/>
    <w:rsid w:val="008B63E8"/>
    <w:rsid w:val="008C79E5"/>
    <w:rsid w:val="009210C7"/>
    <w:rsid w:val="00922B46"/>
    <w:rsid w:val="00934CF1"/>
    <w:rsid w:val="009679C7"/>
    <w:rsid w:val="00976F1A"/>
    <w:rsid w:val="00977C22"/>
    <w:rsid w:val="009B028E"/>
    <w:rsid w:val="009D676A"/>
    <w:rsid w:val="009D6AF6"/>
    <w:rsid w:val="00B127AB"/>
    <w:rsid w:val="00B22F74"/>
    <w:rsid w:val="00B61030"/>
    <w:rsid w:val="00B66E9A"/>
    <w:rsid w:val="00B803FE"/>
    <w:rsid w:val="00BB5258"/>
    <w:rsid w:val="00BC1B06"/>
    <w:rsid w:val="00BC4A1C"/>
    <w:rsid w:val="00BD7A3E"/>
    <w:rsid w:val="00BE693D"/>
    <w:rsid w:val="00C05BDB"/>
    <w:rsid w:val="00C2048C"/>
    <w:rsid w:val="00C56D42"/>
    <w:rsid w:val="00C7530E"/>
    <w:rsid w:val="00C75B28"/>
    <w:rsid w:val="00CE2001"/>
    <w:rsid w:val="00D401C6"/>
    <w:rsid w:val="00D853BE"/>
    <w:rsid w:val="00D8717C"/>
    <w:rsid w:val="00D97C16"/>
    <w:rsid w:val="00DA08EA"/>
    <w:rsid w:val="00DA3A09"/>
    <w:rsid w:val="00DA5299"/>
    <w:rsid w:val="00DB7FA6"/>
    <w:rsid w:val="00DE70E1"/>
    <w:rsid w:val="00E654B3"/>
    <w:rsid w:val="00E7427E"/>
    <w:rsid w:val="00E939B7"/>
    <w:rsid w:val="00EA4B4C"/>
    <w:rsid w:val="00F14E90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5693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14</cp:revision>
  <cp:lastPrinted>2016-09-06T07:16:00Z</cp:lastPrinted>
  <dcterms:created xsi:type="dcterms:W3CDTF">2018-09-24T03:30:00Z</dcterms:created>
  <dcterms:modified xsi:type="dcterms:W3CDTF">2019-07-24T05:36:00Z</dcterms:modified>
</cp:coreProperties>
</file>